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74 vom 7. Juli 1993</w:t>
      </w:r>
    </w:p>
    <w:p>
      <w:r>
        <w:t>Bundesgericht (BGE), 1993-07-07, FR</w:t>
      </w:r>
    </w:p>
    <w:p>
      <w:r>
        <w:rPr>
          <w:b/>
        </w:rPr>
        <w:t xml:space="preserve">Quelle: </w:t>
      </w:r>
      <w:r>
        <w:t>https://mcp.opencaselaw.ch/entscheid/bge_120 IA 74</w:t>
      </w:r>
    </w:p>
    <w:p>
      <w:r>
        <w:t>FR: BGE 120 IA 74 du 7 juillet 1993</w:t>
      </w:r>
    </w:p>
    <w:p>
      <w:r>
        <w:t>IT: BGE 120 IA 74 del 7 luglio 1993</w:t>
      </w:r>
    </w:p>
    <w:p>
      <w:pPr>
        <w:pStyle w:val="Heading2"/>
      </w:pPr>
      <w:r>
        <w:t>Regeste</w:t>
      </w:r>
    </w:p>
    <w:p>
      <w:r>
        <w:t>Regeste Art. 31 und 4 BV; Art. 2 ÜbBest. BV; Art. 11 Abs. 7 des Beschlusses vom 7. Juli 1993 über die Ursprungsbezeichnungen der Walliser Weine (AOC-Beschluss); Verbot des Verschnitts ohne Angabe im Sinne von Art. 337 LMV und des Auffüllens der Fässer im Sinne von Art. 343 LMV. Art. 11 des AOC-Beschlusses, der den Verschnitt ohne Angabe und das Auffüllen der Fässer für Weine mit kontrollierter Ursprungsbezeichnung verbietet, beruht auf einer genügenden gesetzlichen Grundlage und verletzt Art. 2 ÜbBest. BV nicht (E. 4). Das Verbot des Auffüllens der Fässer beruht auf einem genügenden öffentlichen Interesse und verletzt den Grundsatz der Verhältnismässigkeit gemäss Art. 31 BV nicht (E. 5); auch bewirkt es keine ungleiche Behandlung im Vergleich zu andern Weinbaukantonen (E. 6).</w:t>
      </w:r>
    </w:p>
    <w:p>
      <w:pPr>
        <w:pStyle w:val="Heading2"/>
      </w:pPr>
      <w:r>
        <w:t>Erwägungen</w:t>
      </w:r>
    </w:p>
    <w:p>
      <w:r>
        <w:rPr>
          <w:b/>
        </w:rPr>
        <w:t>E. 4</w:t>
      </w:r>
    </w:p>
    <w:p>
      <w:r>
        <w:t>a) Les recourantes soutiennent d'abord que, sur le point incriminé, l'arrêté cantonal attaqué ne repose pas sur une base légale suffisante. Contrairement à cette affirmation, l'art. 11 al. 7 de l'arrêté AOC peut se fonder sur l'art. 18 al. 1 lettre f de l'arrêté fédéral sur la viticulture, car le coupage et l'ouillage, soit ici leur interdiction, rentrent dans les procédés de vinification au sens de cette dernière disposition. Il est exact que le système des appellations d'origine contrôlée a notamment pour but d'améliorer la qualité des vins. Toutefois, il est inutile d'examiner si les procédés en cause sont propres à promouvoir la qualité; les recourantes prétendent à cet égard que l'interdiction incriminée irait à l'encontre du but recherché, sans pour autant nier que les autres mesures adoptées par ailleurs aillent dans le sens d'une amélioration de la qualité (limitation du rendement à la surface, teneurs minimales en sucre naturel, ...). En BGE 120 Ia 74 S. 78 effet, l'art. 18 de l'arrêté fédéral sur la viticulture se trouve dans la section 5 consacré à la récolte, à la promotion de la qualité et aux appellations. Il rentre tout à fait dans le but visé par les appellations d'origine contrôlée, soit la promotion de produits de qualité d'une région déterminée. Cette disposition permet donc aux cantons de fixer des exigences relatives à la seule utilisation de raisins cultivés dans une certaine région pour garantir l'authenticité du produit (ou de préciser les cépages qui peuvent être utilisés pour produire un vin d'une certaine dénomination). L'art. 22 al. 1 lettres a et c de la loi valaisanne sur la viticulture peut également être interprété dans le même sens. On peut encore relever que l'interdiction critiquée s'insère aussi dans le système de limitation quantitative de la production (au maximum 1,4 kg/m2 pour les raisins blancs et 1,2 kg/m2 pour les raisons rouges destinés à l'élaboration de moûts de la catégorie I selon l'art. 20 al. 1 de l'arrêté fédéral, étant précisé que le Valais s'en est pratiquement tenu à ce maximum selon les art. 6 et 8 de l'arrêté AOC). En effet, les vins ajoutés en cave lors du coupage ou de l'ouillage contribueraient à augmenter les quantités mises sur le marché, alors même que la production à la vigne est limitée. Il est dès lors inutile de rechercher si la disposition attaquée trouve ou non une base légale dans l'ordonnance fédérale sur les denrées alimentaires, ce que contestent les recourantes. b) En revanche, il convient d'examiner si, comme elles le soutiennent, l'art. 11 al. 7 de l'arrêté cantonal AOC viole l'art. 2 Disp. trans. Cst. parce qu'il serait contraire au droit fédéral, et plus spécialement aux art. 337 al. 6 et 343 ODA . Selon les recourantes, ces dernières dispositions autoriseraient le coupage sans déclaration et l'ouillage, sans que les cantons puissent interdire ces procédés. A tout le moins, ce raisonnement devrait être suivi pour l'ouillage, la possibilité d'autoriser le coupage sans déclaration devant cependant être conservée, mais uniquement pour les années de récolte qualitativement défavorable selon l' art. 337 al. 6 ODA . La question posée ne saurait être résolue en examinant le droit cantonal uniquement sous l'angle de l'ordonnance sur les denrées alimentaires puisque, comme on l'a vu, une autre règle de droit fédéral, soit l'art. 18 de l'arrêté fédéral sur la viticulture, permet aux cantons d'ordonner des mesures restrictives propres à promouvoir l'authenticité des vins d'appellation d'origine contrôlée et qu'on peut en principe y ranger l'interdiction du coupage sans déclaration et de l'ouillage. En fait, selon l'art. 54 al. 1 de la loi fédérale du 8 décembre 1905 sur le commerce des denrées alimentaires et de divers objets BGE 120 Ia 74 S. 79 usuels (LCDA; RS 817.0), le Conseil fédéral édicte les dispositions propres à sauvegarder la santé publique et à prévenir toute fraude dans le commerce des marchandises et objets soumis au contrôle institué par la loi. C'est sur cette base notamment qu'a été édictée l'ordonnance sur les denrées alimentaires, qui fixe les exigences propres à garantir la santé du consommateur et à éviter qu'il ne soit trompé. Dès lors, dans le domaine des appellations d'origine contrôlée, les cantons peuvent (et parfois même doivent) aller au-delà pour améliorer la qualité du produit ou faire en sorte qu'il soit complètement issu du terroir. Il s'agit de buts particuliers découlant de l'arrêté fédéral sur la viticulture, qui ne sont pas en contradiction avec l'ordonnance sur les denrées alimentaires. La disposition incriminée n'est en conséquence pas contraire à ladite ordonnance et repose du reste sur d'autres bases que celle-ci. Le grief que les recourantes voudraient tirer du fait que l'arrêté cantonal n'a pas été approuvé par le Conseil fédéral conformément à l'ordonnance sur les denrées alimentaires tombe donc à faux, indépendamment du fait que ce moyen n'est pas motivé conformément aux exigences de l' art. 90 al. 1 lettre b OJ .</w:t>
      </w:r>
    </w:p>
    <w:p>
      <w:r>
        <w:rPr>
          <w:b/>
        </w:rPr>
        <w:t>E. 5</w:t>
      </w:r>
    </w:p>
    <w:p>
      <w:r>
        <w:t>Les recourantes soutiennent ensuite que l'interdiction de l'ouillage ne répond pas à un intérêt public suffisant et violerait le principe de proportionnalité (le grief n'est pas suffisamment motivé au regard de l' art. 90 al. 1 lettre b OJ pour ce qui concerne le coupage sans déclaration, de sorte qu'il est irrecevable). Le Tribunal fédéral examine librement si une limitation à la liberté du commerce et de l'industrie remplit ces deux conditions; il s'impose toutefois une certaine retenue lorsqu'il s'agit de tenir compte de circonstances locales ou de trancher de pures questions d'appréciation ( ATF 118 Ia 175 consid. 3a p. 181; ATF 116 Ia 118 consid. 5 p. 123). a) Selon les recourantes, l'interdiction de l'ouillage viserait à favoriser l'utilisation exclusive de produits du pays au détriment de la qualité. En effet, l'ouillage permettrait une amélioration qualitative et serait nécessaire pour obtenir une coloration suffisante du vin, tout en abaissant son prix. Il faut d'abord relever que l'ouillage n'assure pas en lui-même une amélioration de la qualité. Les recourantes reconnaissent que ce procédé doit de toute façon être utilisé avec mesure et discernement. Sauf à en contrôler la mise en oeuvre, il pourrait même selon les circonstances aller à l'encontre d'une amélioration qualitative. L'autorité cantonale remarque que cette recherche de la qualité peut déjà être atteinte par les autres mesures BGE 120 Ia 74 S. 80 adoptées, qui ne sont du reste pas contestées par les recourants (limitation du rendement à la surface, teneurs minimales en sucre naturel...). Par ailleurs, une coloration convenable devrait être également atteinte grâce aux progrès des méthodes de vinification. L'authenticité du produit peut aussi être considérée comme un élément positif à prendre en considération dans l'appréciation d'ensemble de la situation; ce facteur est du reste maintenant mis en évidence par certains producteurs comme élément de publicité. Le Conseil d'Etat relève encore que l'équilibre de la Dôle pourra être assuré par la possibilité d'y inclure jusqu'à 20% de cépages cultivés en Valais autres que le Pinot noir et le Gamay. Compte tenu de la marge qui doit être reconnue au Conseil d'Etat sur une question qui relève en partie en tout cas de l'appréciation, la condition d'un intérêt public suffisant est remplie. b) Les recourantes prétendent que le principe de proportionnalité serait en tout cas violé dans la mesure où l'interdiction de l'ouillage a été introduite sans délai transitoire. Pour l'équilibre et la coloration des vins rouges et notamment de la Dôle, il est certes concevable de recourir à d'autres cépages. Ceux-ci ne sont cependant actuellement cultivés qu'en faible quantité et un délai de 5 ans serait indispensable pour atteindre une production suffisante. Le Conseil d'Etat peut cependant invoquer la nécessité de mettre en place rapidement un ensemble de mesures cohérentes. Le secteur vini-viticole a connu ces dernières années des difficultés certaines et l'on peut comprendre que le Conseil d'Etat ne veuille pas attendre pour appliquer les dispositions propres à prévenir des problèmes. Comme le relève l'autorité intimée, les mesures concernant les vignerons, notamment la limitation quantitative du rendement, sont déjà applicables. Il y a une certaine logique à mettre simultanément en oeuvre les prescriptions applicables à la cave. Il faut relever que les avis étaient partagés sur l'application immédiate de l'art. 11 al. 7 de l'arrêté AOC. La majorité de la commission consultée par le Conseil d'Etat allait dans ce sens, alors que l'Office de la viticulture avait admis une période transitoire. Compte tenu de la marge d'appréciation qui doit être reconnue au Conseil d'Etat, l'application immédiate de l'interdiction de l'ouillage ne viole pas le principe de proportionnalité, d'autant que les autres mesures en vigueur sont de nature à permettre de résoudre les problèmes évoqués par les recourants. En ce qui concerne notamment la coloration des vins, le consommateur devrait admettre certaines variations selon les années de production. BGE 120 Ia 74 S. 81</w:t>
      </w:r>
    </w:p>
    <w:p>
      <w:r>
        <w:rPr>
          <w:b/>
        </w:rPr>
        <w:t>E. 6</w:t>
      </w:r>
    </w:p>
    <w:p>
      <w:r>
        <w:t>Même si d'autres cantons n'ont apparemment pas adopté une règle comparable à l'art. 11 al. 7 de l'arrêté attaqué, les recourants ne sont pas victimes d'une inégalité de traitement. Cette différence est due à la marge laissée aux cantons par le droit fédéral. Il faut du reste relever que d'autres cantons ont parfois pris des mesures de limitation de rendement à la surface plus restrictives que celles retenues par le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